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pPr>
      <w:r>
        <w:rPr>
          <w:rFonts w:ascii="微软雅黑" w:hAnsi="微软雅黑" w:eastAsia="微软雅黑" w:cs="微软雅黑"/>
          <w:b/>
          <w:i w:val="0"/>
          <w:caps w:val="0"/>
          <w:color w:val="333333"/>
          <w:spacing w:val="0"/>
          <w:sz w:val="30"/>
          <w:szCs w:val="30"/>
          <w:shd w:val="clear" w:fill="FFFFFF"/>
        </w:rPr>
        <w:t>关于省级一流本科课程和国家级一流本科课程认定推荐的公示</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各学院、部门：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根据《浙江省教育厅办公室关于开展省级一流本科课程建设和国家级一流本科课程推荐认定工作的通知》（浙教办函〔2019〕334号）要求，学校组织开展了省级一流本科课程和国家级一流本科课程认定推荐工作。经学院积极组织申报，教务部共收到53门课程参加认定。根据工作流程规范，教务部组织专家组进行了材料评审，依据专家打分排序，拟推荐 《国际商务谈判与礼仪》等20门课程作为省级一流课程上报，并推荐其中的《环境工程微生物学及实验》等4门课程参加国家级一流本科课程认定，具体名单如下：</w:t>
      </w:r>
    </w:p>
    <w:tbl>
      <w:tblPr>
        <w:tblW w:w="8379" w:type="dxa"/>
        <w:tblInd w:w="0" w:type="dxa"/>
        <w:shd w:val="clear" w:color="auto" w:fill="FFFFFF"/>
        <w:tblLayout w:type="autofit"/>
        <w:tblCellMar>
          <w:top w:w="0" w:type="dxa"/>
          <w:left w:w="0" w:type="dxa"/>
          <w:bottom w:w="0" w:type="dxa"/>
          <w:right w:w="0" w:type="dxa"/>
        </w:tblCellMar>
      </w:tblPr>
      <w:tblGrid>
        <w:gridCol w:w="1978"/>
        <w:gridCol w:w="1724"/>
        <w:gridCol w:w="1439"/>
        <w:gridCol w:w="1544"/>
        <w:gridCol w:w="1694"/>
      </w:tblGrid>
      <w:tr>
        <w:tblPrEx>
          <w:shd w:val="clear" w:color="auto" w:fill="FFFFFF"/>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 w:hAnsi="楷体" w:eastAsia="楷体" w:cs="楷体"/>
                <w:i w:val="0"/>
                <w:caps w:val="0"/>
                <w:color w:val="000000"/>
                <w:spacing w:val="0"/>
                <w:kern w:val="0"/>
                <w:sz w:val="22"/>
                <w:szCs w:val="22"/>
                <w:bdr w:val="none" w:color="auto" w:sz="0" w:space="0"/>
                <w:lang w:val="en-US" w:eastAsia="zh-CN" w:bidi="ar"/>
              </w:rPr>
              <w:t>所属学院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课程名称</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课程负责人</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推荐级别</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推荐类别</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生物与环境学院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环境工程微生物学及实验</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熊尚凌</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国家级、省级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基础学院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思想道德修养与法律基础</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孙叶飞</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国家级、省级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生物与环境学院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生化实验技术</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钱国英</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国家级、省级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法学院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知识产权法</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赵春兰</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国家级、省级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商学院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国际商务谈判与礼仪</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王扬眉</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外语学院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商务笔译</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陈娟</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商学院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税法</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高巧依</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法学院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电子商务法</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唐先锋</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生物与环境学院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免疫学</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陈永富</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信息与智能工程学院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单片机原理及应用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郑子含</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生物与环境学院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无机及分析化学</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夏静芬</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外语学院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跨文化交际</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沈乐敏</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物流与电子商务学院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创业与人文素质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陈彩祥</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社会实践一流课程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文化与传播学院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中国古代文学</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袁  韵</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物流与电子商务学院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网络营销</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陈晴光</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商学院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成本管理会计</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冯雪琰</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文化与传播学院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新闻采访与写作1、2</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黄峥</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大数据与软件工程学院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数据分析</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黄剑</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线下一流课程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设计艺术与建筑学院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陈设艺术设计</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陈怡</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r>
        <w:tblPrEx>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大数据与软件工程学院</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计算机网络</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张延红</w:t>
            </w:r>
          </w:p>
        </w:tc>
        <w:tc>
          <w:tcPr>
            <w:tcW w:w="15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省级</w:t>
            </w:r>
          </w:p>
        </w:tc>
        <w:tc>
          <w:tcPr>
            <w:tcW w:w="16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i w:val="0"/>
                <w:caps w:val="0"/>
                <w:color w:val="000000"/>
                <w:spacing w:val="0"/>
                <w:kern w:val="0"/>
                <w:sz w:val="22"/>
                <w:szCs w:val="22"/>
                <w:bdr w:val="none" w:color="auto" w:sz="0" w:space="0"/>
                <w:lang w:val="en-US" w:eastAsia="zh-CN" w:bidi="ar"/>
              </w:rPr>
              <w:t>线上线下混合式一流课程</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公示时间为2019年12月12日至12月14日。公示期间内，任何部门、个人如有异议，请于12月14日16:00前来人或来电与学校纪检监察部或教务部负责人联系。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纪检监察部：邬敏燕   联系电话：88222008；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textAlignment w:val="top"/>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教务部：     杨亚萍     联系电话：88221231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20"/>
        <w:jc w:val="left"/>
        <w:textAlignment w:val="top"/>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920"/>
        <w:jc w:val="right"/>
        <w:textAlignment w:val="top"/>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教务部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2019年12月12日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E612D"/>
    <w:rsid w:val="6AAE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2020-04-15T08:37:00Z</dcterms:created>
  <dc:creator>dell123</dc:creator>
  <cp:lastModifiedBy>dell123</cp:lastModifiedBy>
  <dcterms:modified xsi:type="dcterms:W3CDTF">2020-04-15T08:39:12Z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