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关于</w:t>
      </w:r>
      <w:r>
        <w:rPr>
          <w:rFonts w:hint="eastAsia" w:ascii="黑体" w:hAnsi="黑体" w:eastAsia="黑体"/>
          <w:sz w:val="30"/>
          <w:szCs w:val="30"/>
        </w:rPr>
        <w:t>第三批省级精品在线开放课程推荐名单的公示</w:t>
      </w:r>
    </w:p>
    <w:p>
      <w:pPr>
        <w:widowControl/>
        <w:shd w:val="clear" w:color="auto" w:fill="FFFFFF"/>
        <w:spacing w:before="60" w:after="60" w:line="300" w:lineRule="auto"/>
        <w:jc w:val="left"/>
        <w:rPr>
          <w:rFonts w:ascii="Times New Roman" w:hAnsi="Times New Roman" w:eastAsia="宋体" w:cs="Times New Roman"/>
          <w:color w:val="2B2B2B"/>
          <w:kern w:val="0"/>
          <w:szCs w:val="21"/>
        </w:rPr>
      </w:pPr>
      <w:r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  <w:t>各学院、部门：</w:t>
      </w:r>
    </w:p>
    <w:p>
      <w:pPr>
        <w:widowControl/>
        <w:shd w:val="clear" w:color="auto" w:fill="FFFFFF"/>
        <w:spacing w:before="60" w:after="60" w:line="300" w:lineRule="auto"/>
        <w:jc w:val="left"/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  <w:t>      根据浙江省高等学校在线开放课程共享联盟、浙江省高等学校在线开放课程管理中心《关于组织开展第三批省级精品在线开放课程建设工作的通知》（浙高课管函〔2018〕6号）文件要求，</w:t>
      </w:r>
      <w:r>
        <w:rPr>
          <w:rFonts w:ascii="Times New Roman" w:hAnsi="Times New Roman" w:cs="Times New Roman"/>
          <w:color w:val="2B2B2B"/>
          <w:kern w:val="0"/>
          <w:sz w:val="24"/>
          <w:szCs w:val="24"/>
        </w:rPr>
        <w:t>通过学院组织申报，本次共上报17门课程，我校推荐名额为6门，</w:t>
      </w:r>
      <w:r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  <w:t>教务部于2019年1月3日组织校内外专家对申报课程进行评审。</w:t>
      </w:r>
      <w:r>
        <w:rPr>
          <w:rFonts w:ascii="Times New Roman" w:hAnsi="Times New Roman" w:cs="Times New Roman"/>
          <w:color w:val="2B2B2B"/>
          <w:kern w:val="0"/>
          <w:sz w:val="24"/>
          <w:szCs w:val="24"/>
        </w:rPr>
        <w:t>评审要求主要看4个维度：（1）看课程教学团队；（2）看课程现有基础；（3）看课程共享性和推广价值；（4）看课程建设标准。</w:t>
      </w:r>
      <w:r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  <w:t>根据专家评分排序，推荐</w:t>
      </w:r>
      <w:r>
        <w:rPr>
          <w:rFonts w:ascii="Times New Roman" w:hAnsi="Times New Roman" w:cs="Times New Roman"/>
          <w:color w:val="2B2B2B"/>
          <w:kern w:val="0"/>
          <w:sz w:val="24"/>
          <w:szCs w:val="24"/>
        </w:rPr>
        <w:t>排序前</w:t>
      </w:r>
      <w:r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  <w:t>6门</w:t>
      </w:r>
      <w:r>
        <w:rPr>
          <w:rFonts w:ascii="Times New Roman" w:hAnsi="Times New Roman" w:cs="Times New Roman"/>
          <w:color w:val="2B2B2B"/>
          <w:kern w:val="0"/>
          <w:sz w:val="24"/>
          <w:szCs w:val="24"/>
        </w:rPr>
        <w:t>申报第三批省精品在线开放课程</w:t>
      </w:r>
      <w:r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  <w:t>，</w:t>
      </w:r>
      <w:r>
        <w:rPr>
          <w:rFonts w:hint="eastAsia" w:ascii="Arial" w:hAnsi="Arial" w:eastAsia="宋体" w:cs="Arial"/>
          <w:color w:val="2B2B2B"/>
          <w:sz w:val="24"/>
          <w:szCs w:val="24"/>
          <w:shd w:val="clear" w:color="auto" w:fill="FFFFFF"/>
        </w:rPr>
        <w:t>经教学委员会审核通过，现将推荐名单予以公示</w:t>
      </w:r>
      <w:r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60" w:after="60" w:line="300" w:lineRule="auto"/>
        <w:jc w:val="left"/>
        <w:rPr>
          <w:rFonts w:ascii="Times New Roman" w:hAnsi="Times New Roman" w:eastAsia="宋体" w:cs="Times New Roman"/>
          <w:color w:val="2B2B2B"/>
          <w:kern w:val="0"/>
          <w:sz w:val="24"/>
          <w:szCs w:val="24"/>
        </w:rPr>
      </w:pPr>
    </w:p>
    <w:tbl>
      <w:tblPr>
        <w:tblStyle w:val="4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473"/>
        <w:gridCol w:w="1740"/>
        <w:gridCol w:w="15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3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4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5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2130" w:type="dxa"/>
          </w:tcPr>
          <w:p>
            <w:pPr>
              <w:widowControl/>
              <w:spacing w:before="60" w:after="60" w:line="300" w:lineRule="auto"/>
              <w:jc w:val="center"/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数字电子技术及实践</w:t>
            </w:r>
          </w:p>
        </w:tc>
        <w:tc>
          <w:tcPr>
            <w:tcW w:w="174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学科基础课</w:t>
            </w:r>
          </w:p>
        </w:tc>
        <w:tc>
          <w:tcPr>
            <w:tcW w:w="15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钱裕禄</w:t>
            </w:r>
          </w:p>
        </w:tc>
        <w:tc>
          <w:tcPr>
            <w:tcW w:w="2130" w:type="dxa"/>
          </w:tcPr>
          <w:p>
            <w:pPr>
              <w:widowControl/>
              <w:spacing w:before="60" w:after="60" w:line="300" w:lineRule="auto"/>
              <w:jc w:val="center"/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  <w:t>信息与智能工程学院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无机及分析化学</w:t>
            </w:r>
          </w:p>
        </w:tc>
        <w:tc>
          <w:tcPr>
            <w:tcW w:w="174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学科基础课</w:t>
            </w:r>
          </w:p>
        </w:tc>
        <w:tc>
          <w:tcPr>
            <w:tcW w:w="15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夏静芬</w:t>
            </w:r>
          </w:p>
        </w:tc>
        <w:tc>
          <w:tcPr>
            <w:tcW w:w="2130" w:type="dxa"/>
          </w:tcPr>
          <w:p>
            <w:pPr>
              <w:widowControl/>
              <w:spacing w:before="60" w:after="60" w:line="300" w:lineRule="auto"/>
              <w:jc w:val="center"/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  <w:t>生物与环境学院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物流信息管理与技术</w:t>
            </w:r>
          </w:p>
        </w:tc>
        <w:tc>
          <w:tcPr>
            <w:tcW w:w="174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5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陈莎莎</w:t>
            </w:r>
          </w:p>
        </w:tc>
        <w:tc>
          <w:tcPr>
            <w:tcW w:w="2130" w:type="dxa"/>
          </w:tcPr>
          <w:p>
            <w:pPr>
              <w:widowControl/>
              <w:spacing w:before="60" w:after="60" w:line="300" w:lineRule="auto"/>
              <w:jc w:val="center"/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  <w:t>物流与电子商务学院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4</w:t>
            </w:r>
          </w:p>
        </w:tc>
        <w:tc>
          <w:tcPr>
            <w:tcW w:w="2473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国际贸易理论与政策</w:t>
            </w:r>
          </w:p>
        </w:tc>
        <w:tc>
          <w:tcPr>
            <w:tcW w:w="174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5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闫国庆</w:t>
            </w:r>
          </w:p>
        </w:tc>
        <w:tc>
          <w:tcPr>
            <w:tcW w:w="2130" w:type="dxa"/>
          </w:tcPr>
          <w:p>
            <w:pPr>
              <w:widowControl/>
              <w:spacing w:before="60" w:after="60" w:line="300" w:lineRule="auto"/>
              <w:jc w:val="center"/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74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5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陈晴光</w:t>
            </w:r>
          </w:p>
        </w:tc>
        <w:tc>
          <w:tcPr>
            <w:tcW w:w="21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  <w:t>物流与电子商务学院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2B2B2B"/>
                <w:kern w:val="0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日本商务礼仪文化</w:t>
            </w:r>
          </w:p>
        </w:tc>
        <w:tc>
          <w:tcPr>
            <w:tcW w:w="174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专业选修课程</w:t>
            </w:r>
          </w:p>
        </w:tc>
        <w:tc>
          <w:tcPr>
            <w:tcW w:w="1530" w:type="dxa"/>
          </w:tcPr>
          <w:p>
            <w:pPr>
              <w:widowControl/>
              <w:spacing w:before="60" w:after="60" w:line="300" w:lineRule="auto"/>
              <w:jc w:val="center"/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B2B2B"/>
                <w:kern w:val="0"/>
                <w:sz w:val="24"/>
                <w:szCs w:val="24"/>
              </w:rPr>
              <w:t>王君</w:t>
            </w:r>
          </w:p>
        </w:tc>
        <w:tc>
          <w:tcPr>
            <w:tcW w:w="2130" w:type="dxa"/>
          </w:tcPr>
          <w:p>
            <w:pPr>
              <w:widowControl/>
              <w:spacing w:before="60" w:after="60" w:line="300" w:lineRule="auto"/>
              <w:jc w:val="center"/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B2B2B"/>
                <w:kern w:val="0"/>
                <w:sz w:val="24"/>
                <w:szCs w:val="24"/>
                <w:lang w:val="en-US" w:eastAsia="zh-CN"/>
              </w:rPr>
              <w:t>外语学院</w:t>
            </w:r>
          </w:p>
        </w:tc>
      </w:tr>
    </w:tbl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公示时间为201</w:t>
      </w:r>
      <w:r>
        <w:rPr>
          <w:rFonts w:hint="eastAsia"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年1月</w:t>
      </w:r>
      <w:r>
        <w:rPr>
          <w:rFonts w:hint="eastAsia"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日至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日。公示期间内，任何部门、个人如有异议，请于1月</w:t>
      </w:r>
      <w:r>
        <w:rPr>
          <w:rFonts w:hint="eastAsia"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日1</w:t>
      </w:r>
      <w:r>
        <w:rPr>
          <w:rFonts w:hint="eastAsia"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：00</w:t>
      </w:r>
      <w:r>
        <w:rPr>
          <w:rFonts w:hint="eastAsia" w:ascii="Times New Roman" w:hAnsi="Times New Roman" w:cs="Times New Roman"/>
          <w:sz w:val="24"/>
          <w:szCs w:val="24"/>
        </w:rPr>
        <w:t>前来人或来电与学校监察审计部等联系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纪检监察部：邬敏燕  88222008  652275</w:t>
      </w: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spacing w:line="30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教务部：李  凤  88222560  642241</w:t>
      </w:r>
      <w:bookmarkStart w:id="0" w:name="_GoBack"/>
      <w:bookmarkEnd w:id="0"/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right="480" w:firstLine="720" w:firstLineChars="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教务部</w:t>
      </w:r>
    </w:p>
    <w:p>
      <w:pPr>
        <w:spacing w:line="300" w:lineRule="auto"/>
        <w:ind w:firstLine="960" w:firstLineChars="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2019年1月4日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56"/>
    <w:rsid w:val="001B3996"/>
    <w:rsid w:val="001D6B5A"/>
    <w:rsid w:val="004E73C8"/>
    <w:rsid w:val="005341E6"/>
    <w:rsid w:val="00540AFB"/>
    <w:rsid w:val="00761656"/>
    <w:rsid w:val="00881A92"/>
    <w:rsid w:val="00967179"/>
    <w:rsid w:val="009D1946"/>
    <w:rsid w:val="00BA368A"/>
    <w:rsid w:val="00BF58CA"/>
    <w:rsid w:val="00E237F2"/>
    <w:rsid w:val="00E63A51"/>
    <w:rsid w:val="00F57A63"/>
    <w:rsid w:val="046375AF"/>
    <w:rsid w:val="07DD68D9"/>
    <w:rsid w:val="113C5B7C"/>
    <w:rsid w:val="14330394"/>
    <w:rsid w:val="163A6032"/>
    <w:rsid w:val="3F2A1872"/>
    <w:rsid w:val="48F25F58"/>
    <w:rsid w:val="50700AA9"/>
    <w:rsid w:val="61635C67"/>
    <w:rsid w:val="702C63AB"/>
    <w:rsid w:val="72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4</TotalTime>
  <ScaleCrop>false</ScaleCrop>
  <LinksUpToDate>false</LinksUpToDate>
  <CharactersWithSpaces>544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2019-01-03T07:04:00Z</dcterms:created>
  <dc:creator>dell123</dc:creator>
  <cp:lastModifiedBy>April</cp:lastModifiedBy>
  <dcterms:modified xsi:type="dcterms:W3CDTF">2019-01-04T05:48:12Z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