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3" w:firstLineChars="20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国际结算课程特色成效</w:t>
      </w:r>
    </w:p>
    <w:p>
      <w:pPr>
        <w:keepNext w:val="0"/>
        <w:keepLines w:val="0"/>
        <w:pageBreakBefore w:val="0"/>
        <w:widowControl w:val="0"/>
        <w:numPr>
          <w:ilvl w:val="0"/>
          <w:numId w:val="1"/>
        </w:numPr>
        <w:kinsoku/>
        <w:wordWrap/>
        <w:overflowPunct/>
        <w:topLinePunct w:val="0"/>
        <w:autoSpaceDE/>
        <w:autoSpaceDN/>
        <w:bidi w:val="0"/>
        <w:adjustRightInd/>
        <w:snapToGrid/>
        <w:spacing w:before="120" w:after="120"/>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课程特色</w:t>
      </w:r>
    </w:p>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自2019年以来，国际结算</w:t>
      </w:r>
      <w:r>
        <w:rPr>
          <w:rFonts w:hint="eastAsia" w:ascii="仿宋_GB2312" w:hAnsi="仿宋_GB2312" w:eastAsia="仿宋_GB2312" w:cs="仿宋_GB2312"/>
          <w:sz w:val="24"/>
          <w:lang w:val="en-US" w:eastAsia="zh-CN"/>
        </w:rPr>
        <w:t>课程采取线上/线下混合式教学方式，课程教学改革突出三点特色：</w:t>
      </w:r>
    </w:p>
    <w:p>
      <w:pPr>
        <w:keepNext w:val="0"/>
        <w:keepLines w:val="0"/>
        <w:pageBreakBefore w:val="0"/>
        <w:widowControl w:val="0"/>
        <w:numPr>
          <w:numId w:val="0"/>
        </w:numPr>
        <w:kinsoku/>
        <w:wordWrap/>
        <w:overflowPunct/>
        <w:topLinePunct w:val="0"/>
        <w:autoSpaceDE/>
        <w:autoSpaceDN/>
        <w:bidi w:val="0"/>
        <w:adjustRightInd/>
        <w:snapToGrid/>
        <w:spacing w:before="120" w:after="120"/>
        <w:textAlignment w:val="auto"/>
        <w:rPr>
          <w:rFonts w:ascii="仿宋_GB2312" w:hAnsi="仿宋_GB2312" w:eastAsia="仿宋_GB2312" w:cs="仿宋_GB2312"/>
          <w:b/>
          <w:bCs/>
          <w:sz w:val="24"/>
        </w:rPr>
      </w:pP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构建基于Bloom学习分类的理实一体知识体系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b w:val="0"/>
          <w:bCs w:val="0"/>
          <w:sz w:val="24"/>
          <w:lang w:val="en-US" w:eastAsia="zh-CN"/>
        </w:rPr>
        <w:t>一是</w:t>
      </w:r>
      <w:r>
        <w:rPr>
          <w:rFonts w:hint="eastAsia" w:ascii="仿宋_GB2312" w:hAnsi="仿宋_GB2312" w:eastAsia="仿宋_GB2312" w:cs="仿宋_GB2312"/>
          <w:b w:val="0"/>
          <w:bCs w:val="0"/>
          <w:sz w:val="24"/>
        </w:rPr>
        <w:t>实施</w:t>
      </w:r>
      <w:r>
        <w:rPr>
          <w:rFonts w:hint="eastAsia" w:ascii="仿宋_GB2312" w:hAnsi="仿宋_GB2312" w:eastAsia="仿宋_GB2312" w:cs="仿宋_GB2312"/>
          <w:b w:val="0"/>
          <w:bCs w:val="0"/>
          <w:sz w:val="24"/>
          <w:lang w:eastAsia="zh-CN"/>
        </w:rPr>
        <w:t>“</w:t>
      </w:r>
      <w:r>
        <w:rPr>
          <w:rFonts w:ascii="Times New Roman" w:hAnsi="Times New Roman" w:eastAsia="仿宋_GB2312"/>
          <w:b w:val="0"/>
          <w:bCs w:val="0"/>
          <w:sz w:val="24"/>
        </w:rPr>
        <w:t>1+X</w:t>
      </w:r>
      <w:r>
        <w:rPr>
          <w:rFonts w:hint="eastAsia" w:ascii="Times New Roman" w:hAnsi="Times New Roman" w:eastAsia="仿宋_GB2312"/>
          <w:b w:val="0"/>
          <w:bCs w:val="0"/>
          <w:sz w:val="24"/>
          <w:lang w:eastAsia="zh-CN"/>
        </w:rPr>
        <w:t>”</w:t>
      </w:r>
      <w:r>
        <w:rPr>
          <w:rFonts w:ascii="Times New Roman" w:hAnsi="Times New Roman" w:eastAsia="仿宋_GB2312"/>
          <w:b w:val="0"/>
          <w:bCs w:val="0"/>
          <w:sz w:val="24"/>
        </w:rPr>
        <w:t>计划</w:t>
      </w:r>
      <w:r>
        <w:rPr>
          <w:rFonts w:hint="eastAsia" w:ascii="Times New Roman" w:hAnsi="Times New Roman" w:eastAsia="仿宋_GB2312"/>
          <w:sz w:val="24"/>
        </w:rPr>
        <w:t>（</w:t>
      </w:r>
      <w:r>
        <w:rPr>
          <w:rFonts w:hint="eastAsia" w:ascii="仿宋_GB2312" w:hAnsi="仿宋_GB2312" w:eastAsia="仿宋_GB2312" w:cs="仿宋_GB2312"/>
          <w:sz w:val="24"/>
        </w:rPr>
        <w:t>如图</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所示）</w:t>
      </w:r>
      <w:r>
        <w:rPr>
          <w:rFonts w:ascii="Times New Roman" w:hAnsi="Times New Roman" w:eastAsia="仿宋_GB2312"/>
          <w:sz w:val="24"/>
        </w:rPr>
        <w:t>，将资质证书考试CDCS（跟单信用证专家证书）、FECT</w:t>
      </w:r>
      <w:r>
        <w:rPr>
          <w:rFonts w:hint="eastAsia" w:ascii="仿宋_GB2312" w:hAnsi="仿宋_GB2312" w:eastAsia="仿宋_GB2312" w:cs="仿宋_GB2312"/>
          <w:sz w:val="24"/>
        </w:rPr>
        <w:t>（金融英语）引入教学，结合国际结算最新发展动态重构教学知识体系。</w:t>
      </w:r>
    </w:p>
    <w:p>
      <w:pPr>
        <w:spacing w:line="340" w:lineRule="atLeast"/>
        <w:jc w:val="center"/>
        <w:rPr>
          <w:rFonts w:ascii="Times New Roman" w:hAnsi="Times New Roman"/>
          <w:sz w:val="24"/>
        </w:rPr>
      </w:pPr>
      <w:r>
        <w:rPr>
          <w:rFonts w:hint="eastAsia" w:ascii="Times New Roman" w:hAnsi="Times New Roman"/>
          <w:sz w:val="24"/>
        </w:rPr>
        <w:drawing>
          <wp:inline distT="0" distB="0" distL="114300" distR="114300">
            <wp:extent cx="2880360" cy="2058035"/>
            <wp:effectExtent l="0" t="0" r="2540" b="12065"/>
            <wp:docPr id="4" name="图片 4" descr="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77"/>
                    <pic:cNvPicPr>
                      <a:picLocks noChangeAspect="1"/>
                    </pic:cNvPicPr>
                  </pic:nvPicPr>
                  <pic:blipFill>
                    <a:blip r:embed="rId4"/>
                    <a:stretch>
                      <a:fillRect/>
                    </a:stretch>
                  </pic:blipFill>
                  <pic:spPr>
                    <a:xfrm>
                      <a:off x="0" y="0"/>
                      <a:ext cx="2880360" cy="2058035"/>
                    </a:xfrm>
                    <a:prstGeom prst="rect">
                      <a:avLst/>
                    </a:prstGeom>
                  </pic:spPr>
                </pic:pic>
              </a:graphicData>
            </a:graphic>
          </wp:inline>
        </w:drawing>
      </w:r>
    </w:p>
    <w:p>
      <w:pPr>
        <w:spacing w:line="340" w:lineRule="atLeast"/>
        <w:jc w:val="center"/>
        <w:rPr>
          <w:b/>
          <w:bCs/>
          <w:sz w:val="18"/>
          <w:szCs w:val="18"/>
        </w:rPr>
      </w:pPr>
      <w:r>
        <w:rPr>
          <w:rFonts w:hint="eastAsia"/>
          <w:b/>
          <w:bCs/>
          <w:sz w:val="18"/>
          <w:szCs w:val="18"/>
        </w:rPr>
        <w:t>图</w:t>
      </w:r>
      <w:r>
        <w:rPr>
          <w:rFonts w:hint="eastAsia"/>
          <w:b/>
          <w:bCs/>
          <w:sz w:val="18"/>
          <w:szCs w:val="18"/>
          <w:lang w:val="en-US" w:eastAsia="zh-CN"/>
        </w:rPr>
        <w:t xml:space="preserve">1 </w:t>
      </w:r>
      <w:r>
        <w:rPr>
          <w:rFonts w:hint="eastAsia"/>
          <w:b/>
          <w:bCs/>
          <w:sz w:val="18"/>
          <w:szCs w:val="18"/>
        </w:rPr>
        <w:t>知识体系</w:t>
      </w:r>
    </w:p>
    <w:p>
      <w:pPr>
        <w:numPr>
          <w:numId w:val="0"/>
        </w:numPr>
        <w:spacing w:line="340" w:lineRule="atLeast"/>
        <w:ind w:firstLine="480" w:firstLineChars="200"/>
        <w:rPr>
          <w:rFonts w:ascii="Times New Roman" w:hAnsi="Times New Roman"/>
          <w:sz w:val="24"/>
        </w:rPr>
      </w:pPr>
      <w:r>
        <w:rPr>
          <w:rFonts w:hint="eastAsia" w:ascii="仿宋_GB2312" w:hAnsi="仿宋_GB2312" w:eastAsia="仿宋_GB2312" w:cs="仿宋_GB2312"/>
          <w:b w:val="0"/>
          <w:bCs w:val="0"/>
          <w:sz w:val="24"/>
          <w:lang w:val="en-US" w:eastAsia="zh-CN"/>
        </w:rPr>
        <w:t>二是</w:t>
      </w:r>
      <w:r>
        <w:rPr>
          <w:rFonts w:hint="eastAsia" w:ascii="仿宋_GB2312" w:hAnsi="仿宋_GB2312" w:eastAsia="仿宋_GB2312" w:cs="仿宋_GB2312"/>
          <w:b w:val="0"/>
          <w:bCs w:val="0"/>
          <w:sz w:val="24"/>
        </w:rPr>
        <w:t>强化案例教学的多方位辅助功能</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lang w:val="en-US" w:eastAsia="zh-CN"/>
        </w:rPr>
        <w:t>在</w:t>
      </w:r>
      <w:r>
        <w:rPr>
          <w:rFonts w:hint="eastAsia" w:ascii="仿宋_GB2312" w:hAnsi="仿宋_GB2312" w:eastAsia="仿宋_GB2312" w:cs="仿宋_GB2312"/>
          <w:sz w:val="24"/>
        </w:rPr>
        <w:t>案例教学具体实施中注重“师生互补，教学相辅”，尽量根据外贸企业和银行真实案例加工后采用（</w:t>
      </w:r>
      <w:r>
        <w:rPr>
          <w:rFonts w:hint="eastAsia" w:ascii="仿宋_GB2312" w:hAnsi="仿宋_GB2312" w:eastAsia="仿宋_GB2312" w:cs="仿宋_GB2312"/>
          <w:sz w:val="24"/>
          <w:lang w:val="en-US" w:eastAsia="zh-CN"/>
        </w:rPr>
        <w:t>详</w:t>
      </w:r>
      <w:r>
        <w:rPr>
          <w:rFonts w:hint="eastAsia" w:ascii="仿宋_GB2312" w:hAnsi="仿宋_GB2312" w:eastAsia="仿宋_GB2312" w:cs="仿宋_GB2312"/>
          <w:sz w:val="24"/>
        </w:rPr>
        <w:t>见教学设计）。</w:t>
      </w:r>
    </w:p>
    <w:p>
      <w:pPr>
        <w:keepNext w:val="0"/>
        <w:keepLines w:val="0"/>
        <w:pageBreakBefore w:val="0"/>
        <w:widowControl w:val="0"/>
        <w:numPr>
          <w:numId w:val="0"/>
        </w:numPr>
        <w:kinsoku/>
        <w:wordWrap/>
        <w:overflowPunct/>
        <w:topLinePunct w:val="0"/>
        <w:autoSpaceDE/>
        <w:autoSpaceDN/>
        <w:bidi w:val="0"/>
        <w:adjustRightInd/>
        <w:snapToGrid/>
        <w:spacing w:before="120" w:after="120" w:line="240" w:lineRule="auto"/>
        <w:ind w:leftChars="0"/>
        <w:textAlignment w:val="auto"/>
        <w:rPr>
          <w:rFonts w:ascii="仿宋_GB2312" w:hAnsi="仿宋_GB2312" w:eastAsia="仿宋_GB2312" w:cs="仿宋_GB2312"/>
          <w:b/>
          <w:bCs/>
          <w:sz w:val="24"/>
        </w:rPr>
      </w:pP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lang w:val="en-US" w:eastAsia="zh-CN"/>
        </w:rPr>
        <w:t>2</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增加学生现实操作体验感</w:t>
      </w:r>
    </w:p>
    <w:p>
      <w:pPr>
        <w:spacing w:line="3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运用线上/线下混合式教学有效发挥体验教学特长，通过线上拓展学习、线下实验教学、调研与见习强化学生的认知能力和应用能力。通过线上/线下错层学习，强化线下教学成效；利用钉钉直播、学校</w:t>
      </w:r>
      <w:r>
        <w:rPr>
          <w:rFonts w:ascii="Times New Roman" w:hAnsi="Times New Roman" w:eastAsia="仿宋_GB2312"/>
          <w:sz w:val="24"/>
        </w:rPr>
        <w:t>Moodle</w:t>
      </w:r>
      <w:r>
        <w:rPr>
          <w:rFonts w:hint="eastAsia" w:ascii="仿宋_GB2312" w:hAnsi="仿宋_GB2312" w:eastAsia="仿宋_GB2312" w:cs="仿宋_GB2312"/>
          <w:sz w:val="24"/>
        </w:rPr>
        <w:t>平台、微助教平台，丰富学习资源，高效管理并营造学生“立体化”网络学习环境，学生学习自主性和学习成效明显提高（如图</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所示）。</w:t>
      </w:r>
    </w:p>
    <w:p>
      <w:pPr>
        <w:spacing w:line="340" w:lineRule="atLeast"/>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drawing>
          <wp:inline distT="0" distB="0" distL="114300" distR="114300">
            <wp:extent cx="3403600" cy="1950720"/>
            <wp:effectExtent l="0" t="0" r="0" b="5080"/>
            <wp:docPr id="5" name="图片 5" descr="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88"/>
                    <pic:cNvPicPr>
                      <a:picLocks noChangeAspect="1"/>
                    </pic:cNvPicPr>
                  </pic:nvPicPr>
                  <pic:blipFill>
                    <a:blip r:embed="rId5"/>
                    <a:stretch>
                      <a:fillRect/>
                    </a:stretch>
                  </pic:blipFill>
                  <pic:spPr>
                    <a:xfrm>
                      <a:off x="0" y="0"/>
                      <a:ext cx="3403600" cy="1950720"/>
                    </a:xfrm>
                    <a:prstGeom prst="rect">
                      <a:avLst/>
                    </a:prstGeom>
                  </pic:spPr>
                </pic:pic>
              </a:graphicData>
            </a:graphic>
          </wp:inline>
        </w:drawing>
      </w:r>
    </w:p>
    <w:p>
      <w:pPr>
        <w:spacing w:line="340" w:lineRule="atLeast"/>
        <w:jc w:val="center"/>
        <w:rPr>
          <w:b/>
          <w:bCs/>
          <w:sz w:val="18"/>
          <w:szCs w:val="18"/>
        </w:rPr>
      </w:pPr>
      <w:r>
        <w:rPr>
          <w:rFonts w:hint="eastAsia"/>
          <w:b/>
          <w:bCs/>
          <w:sz w:val="18"/>
          <w:szCs w:val="18"/>
        </w:rPr>
        <w:t>图</w:t>
      </w:r>
      <w:r>
        <w:rPr>
          <w:rFonts w:hint="eastAsia"/>
          <w:b/>
          <w:bCs/>
          <w:sz w:val="18"/>
          <w:szCs w:val="18"/>
          <w:lang w:val="en-US" w:eastAsia="zh-CN"/>
        </w:rPr>
        <w:t xml:space="preserve">2 </w:t>
      </w:r>
      <w:r>
        <w:rPr>
          <w:rFonts w:hint="eastAsia"/>
          <w:b/>
          <w:bCs/>
          <w:sz w:val="18"/>
          <w:szCs w:val="18"/>
        </w:rPr>
        <w:t>线上学习</w:t>
      </w:r>
    </w:p>
    <w:p>
      <w:pPr>
        <w:keepNext w:val="0"/>
        <w:keepLines w:val="0"/>
        <w:pageBreakBefore w:val="0"/>
        <w:widowControl w:val="0"/>
        <w:numPr>
          <w:numId w:val="0"/>
        </w:numPr>
        <w:kinsoku/>
        <w:wordWrap/>
        <w:overflowPunct/>
        <w:topLinePunct w:val="0"/>
        <w:autoSpaceDE/>
        <w:autoSpaceDN/>
        <w:bidi w:val="0"/>
        <w:adjustRightInd/>
        <w:snapToGrid/>
        <w:spacing w:before="120" w:after="120" w:line="240" w:lineRule="auto"/>
        <w:ind w:leftChars="0"/>
        <w:textAlignment w:val="auto"/>
        <w:rPr>
          <w:rFonts w:hint="eastAsia" w:ascii="仿宋_GB2312" w:hAnsi="仿宋_GB2312" w:eastAsia="仿宋_GB2312" w:cs="仿宋_GB2312"/>
          <w:b/>
          <w:bCs/>
          <w:sz w:val="24"/>
        </w:rPr>
      </w:pPr>
    </w:p>
    <w:p>
      <w:pPr>
        <w:keepNext w:val="0"/>
        <w:keepLines w:val="0"/>
        <w:pageBreakBefore w:val="0"/>
        <w:widowControl w:val="0"/>
        <w:numPr>
          <w:numId w:val="0"/>
        </w:numPr>
        <w:kinsoku/>
        <w:wordWrap/>
        <w:overflowPunct/>
        <w:topLinePunct w:val="0"/>
        <w:autoSpaceDE/>
        <w:autoSpaceDN/>
        <w:bidi w:val="0"/>
        <w:adjustRightInd/>
        <w:snapToGrid/>
        <w:spacing w:before="120" w:after="120" w:line="240" w:lineRule="auto"/>
        <w:ind w:leftChars="0"/>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lang w:val="en-US" w:eastAsia="zh-CN"/>
        </w:rPr>
        <w:t>三</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培育职业素养工匠精神</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分为课内实践与课外实践，课内实践主要形式为实验教学，包括手工实验、实验室内电子实验，结合从业岗位专业知识要求来设定票据、汇款、托收、信用证四大模块任务，采用真实票据填写和校内仿真岗位实训平台两种形式来完成。课外实践形式多样，如专业实习、校外实训基地见习等。</w:t>
      </w:r>
    </w:p>
    <w:p>
      <w:pPr>
        <w:keepNext w:val="0"/>
        <w:keepLines w:val="0"/>
        <w:pageBreakBefore w:val="0"/>
        <w:widowControl w:val="0"/>
        <w:numPr>
          <w:ilvl w:val="0"/>
          <w:numId w:val="1"/>
        </w:numPr>
        <w:kinsoku/>
        <w:wordWrap/>
        <w:overflowPunct/>
        <w:topLinePunct w:val="0"/>
        <w:autoSpaceDE/>
        <w:autoSpaceDN/>
        <w:bidi w:val="0"/>
        <w:adjustRightInd/>
        <w:snapToGrid/>
        <w:spacing w:before="120" w:after="120"/>
        <w:textAlignment w:val="auto"/>
        <w:rPr>
          <w:rFonts w:hint="default" w:ascii="黑体" w:hAnsi="黑体" w:eastAsia="黑体" w:cs="黑体"/>
          <w:sz w:val="24"/>
          <w:lang w:val="en-US" w:eastAsia="zh-CN"/>
        </w:rPr>
      </w:pPr>
      <w:r>
        <w:rPr>
          <w:rFonts w:hint="eastAsia" w:ascii="黑体" w:hAnsi="黑体" w:eastAsia="黑体" w:cs="黑体"/>
          <w:sz w:val="24"/>
          <w:lang w:val="en-US" w:eastAsia="zh-CN"/>
        </w:rPr>
        <w:t>课程改革方向</w:t>
      </w:r>
    </w:p>
    <w:p>
      <w:pPr>
        <w:spacing w:line="300" w:lineRule="auto"/>
        <w:ind w:firstLine="480" w:firstLineChars="200"/>
        <w:rPr>
          <w:rFonts w:hint="eastAsia" w:ascii="仿宋_GB2312" w:hAnsi="仿宋_GB2312" w:eastAsia="仿宋_GB2312" w:cs="仿宋_GB2312"/>
          <w:sz w:val="24"/>
          <w:lang w:eastAsia="zh-CN"/>
        </w:rPr>
      </w:pPr>
      <w:r>
        <w:rPr>
          <w:rFonts w:hint="eastAsia" w:ascii="Times New Roman" w:hAnsi="Times New Roman" w:eastAsia="仿宋_GB2312"/>
          <w:sz w:val="24"/>
          <w:lang w:val="en-US" w:eastAsia="zh-CN"/>
        </w:rPr>
        <w:t>今后</w:t>
      </w:r>
      <w:r>
        <w:rPr>
          <w:rFonts w:ascii="Times New Roman" w:hAnsi="Times New Roman" w:eastAsia="仿宋_GB2312"/>
          <w:sz w:val="24"/>
        </w:rPr>
        <w:t>五年</w:t>
      </w:r>
      <w:r>
        <w:rPr>
          <w:rFonts w:hint="eastAsia" w:ascii="Times New Roman" w:hAnsi="Times New Roman" w:eastAsia="仿宋_GB2312"/>
          <w:sz w:val="24"/>
          <w:lang w:val="en-US" w:eastAsia="zh-CN"/>
        </w:rPr>
        <w:t>里，本</w:t>
      </w:r>
      <w:r>
        <w:rPr>
          <w:rFonts w:ascii="Times New Roman" w:hAnsi="Times New Roman" w:eastAsia="仿宋_GB2312"/>
          <w:sz w:val="24"/>
        </w:rPr>
        <w:t>课程</w:t>
      </w:r>
      <w:r>
        <w:rPr>
          <w:rFonts w:hint="eastAsia" w:ascii="Times New Roman" w:hAnsi="Times New Roman" w:eastAsia="仿宋_GB2312"/>
          <w:sz w:val="24"/>
          <w:lang w:val="en-US" w:eastAsia="zh-CN"/>
        </w:rPr>
        <w:t>将遵循以下方向</w:t>
      </w:r>
      <w:r>
        <w:rPr>
          <w:rFonts w:ascii="Times New Roman" w:hAnsi="Times New Roman" w:eastAsia="仿宋_GB2312"/>
          <w:sz w:val="24"/>
        </w:rPr>
        <w:t>持续</w:t>
      </w:r>
      <w:r>
        <w:rPr>
          <w:rFonts w:hint="eastAsia" w:ascii="Times New Roman" w:hAnsi="Times New Roman" w:eastAsia="仿宋_GB2312"/>
          <w:sz w:val="24"/>
          <w:lang w:val="en-US" w:eastAsia="zh-CN"/>
        </w:rPr>
        <w:t>推进建设进程</w:t>
      </w:r>
      <w:r>
        <w:rPr>
          <w:rFonts w:hint="eastAsia" w:ascii="Times New Roman" w:hAnsi="Times New Roman" w:eastAsia="仿宋_GB2312"/>
          <w:sz w:val="24"/>
          <w:lang w:eastAsia="zh-CN"/>
        </w:rPr>
        <w:t>：</w:t>
      </w:r>
    </w:p>
    <w:p>
      <w:pPr>
        <w:spacing w:line="30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（1）教学设计应体现实务性、前沿性和多元性。</w:t>
      </w:r>
      <w:r>
        <w:rPr>
          <w:rFonts w:hint="eastAsia" w:ascii="仿宋_GB2312" w:hAnsi="仿宋_GB2312" w:eastAsia="仿宋_GB2312" w:cs="仿宋_GB2312"/>
          <w:sz w:val="24"/>
        </w:rPr>
        <w:t>国际结算课程实务操作性很强，并对学生的外语基础、国际贸易实务有较高要求，在理论教学、案例教学、体验教学和实践教学各环节的教学设计应始终围绕“实用性、前沿性和多元性”原则来进行。每个教学环节内容应充分与实际接轨，教师应注重传授以满足实际岗位专业技能要求为目标的国际结算实操技能和知识，而不能只是单纯向学生讲授与现实脱节的纯理论知识。</w:t>
      </w:r>
    </w:p>
    <w:p>
      <w:pPr>
        <w:spacing w:line="30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（2）始终以学生为中心，突出多层互动性。</w:t>
      </w:r>
      <w:r>
        <w:rPr>
          <w:rFonts w:hint="eastAsia" w:ascii="仿宋_GB2312" w:hAnsi="仿宋_GB2312" w:eastAsia="仿宋_GB2312" w:cs="仿宋_GB2312"/>
          <w:sz w:val="24"/>
        </w:rPr>
        <w:t>教师应作为指导者的身份，引导学生主动学习，并能充分利用现代化信息技术，通过多种渠道获取相关学习资源，学生则应在自我学习的基础上，积极参与小组学习和团队协作学习，最终能根据教师的要求认真完成课程各环节知识点的学习。</w:t>
      </w:r>
    </w:p>
    <w:p>
      <w:pPr>
        <w:spacing w:line="30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（3）优化以培养实践创新能力为主的考核方式。</w:t>
      </w:r>
      <w:r>
        <w:rPr>
          <w:rFonts w:hint="eastAsia" w:ascii="仿宋_GB2312" w:hAnsi="仿宋_GB2312" w:eastAsia="仿宋_GB2312" w:cs="仿宋_GB2312"/>
          <w:sz w:val="24"/>
        </w:rPr>
        <w:t>注重优化考核方式，建立相应的课程考核体系，加大能力素质的考核比重，缩减对理论知识的考核比重，实践环节的考核比重应进一步加大，考核内容应包括实训室上机操作过程及成果、结算业务项目模拟设计等。</w:t>
      </w:r>
    </w:p>
    <w:p>
      <w:pPr>
        <w:keepNext w:val="0"/>
        <w:keepLines w:val="0"/>
        <w:pageBreakBefore w:val="0"/>
        <w:widowControl w:val="0"/>
        <w:numPr>
          <w:ilvl w:val="0"/>
          <w:numId w:val="1"/>
        </w:numPr>
        <w:kinsoku/>
        <w:wordWrap/>
        <w:overflowPunct/>
        <w:topLinePunct w:val="0"/>
        <w:autoSpaceDE/>
        <w:autoSpaceDN/>
        <w:bidi w:val="0"/>
        <w:adjustRightInd/>
        <w:snapToGrid/>
        <w:spacing w:before="120" w:after="120"/>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课程教改成效</w:t>
      </w:r>
    </w:p>
    <w:p>
      <w:pPr>
        <w:spacing w:line="300" w:lineRule="auto"/>
        <w:ind w:firstLine="480" w:firstLineChars="200"/>
        <w:rPr>
          <w:rFonts w:hint="default" w:ascii="仿宋_GB2312" w:hAnsi="仿宋_GB2312" w:eastAsia="仿宋_GB2312" w:cs="仿宋_GB2312"/>
          <w:sz w:val="24"/>
          <w:lang w:val="en-US"/>
        </w:rPr>
      </w:pPr>
      <w:r>
        <w:rPr>
          <w:rFonts w:ascii="Times New Roman" w:hAnsi="Times New Roman" w:eastAsia="仿宋_GB2312"/>
          <w:sz w:val="24"/>
        </w:rPr>
        <w:t>2020年5月本课程获立校级一流课程</w:t>
      </w:r>
      <w:r>
        <w:rPr>
          <w:rFonts w:hint="eastAsia" w:ascii="Times New Roman" w:hAnsi="Times New Roman" w:eastAsia="仿宋_GB2312"/>
          <w:sz w:val="24"/>
        </w:rPr>
        <w:t>，</w:t>
      </w:r>
      <w:r>
        <w:rPr>
          <w:rFonts w:hint="eastAsia" w:ascii="Times New Roman" w:hAnsi="Times New Roman" w:eastAsia="仿宋_GB2312"/>
          <w:sz w:val="24"/>
          <w:lang w:val="en-US" w:eastAsia="zh-CN"/>
        </w:rPr>
        <w:t>2022年6月获立浙江省一流课程，</w:t>
      </w:r>
      <w:r>
        <w:rPr>
          <w:rFonts w:ascii="Times New Roman" w:hAnsi="Times New Roman" w:eastAsia="仿宋_GB2312"/>
          <w:sz w:val="24"/>
        </w:rPr>
        <w:t>近两学期教学评价均为A。</w:t>
      </w:r>
      <w:r>
        <w:rPr>
          <w:rFonts w:hint="eastAsia" w:ascii="Times New Roman" w:hAnsi="Times New Roman" w:eastAsia="仿宋_GB2312"/>
          <w:sz w:val="24"/>
          <w:lang w:val="en-US" w:eastAsia="zh-CN"/>
        </w:rPr>
        <w:t>从学生成绩来看，教学效果显著提升。具体来看：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1</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从线上成绩分布来看，如表1所示，线上/线下混合模式下，最近三学期成绩总体递增，优秀率显著提升，不及格率在下降，反映出线上教学模式的教学效果在提升。最近两学期的线上学时不同，</w:t>
      </w:r>
      <w:bookmarkStart w:id="0" w:name="_Hlk107251800"/>
      <w:r>
        <w:rPr>
          <w:rFonts w:hint="default" w:ascii="Times New Roman" w:hAnsi="Times New Roman" w:eastAsia="仿宋_GB2312" w:cs="Times New Roman"/>
          <w:sz w:val="24"/>
        </w:rPr>
        <w:t>2020-2021</w:t>
      </w:r>
      <w:bookmarkEnd w:id="0"/>
      <w:r>
        <w:rPr>
          <w:rFonts w:hint="default" w:ascii="Times New Roman" w:hAnsi="Times New Roman" w:eastAsia="仿宋_GB2312" w:cs="Times New Roman"/>
          <w:sz w:val="24"/>
        </w:rPr>
        <w:t>、2021-2022学年分别采取3+1、2+2混个模式，从成绩比较上可以大致推测出，2+2混合模式下线上学习效果更充分</w:t>
      </w:r>
      <w:r>
        <w:rPr>
          <w:rFonts w:hint="default" w:ascii="Times New Roman" w:hAnsi="Times New Roman" w:eastAsia="仿宋_GB2312" w:cs="Times New Roman"/>
          <w:sz w:val="24"/>
          <w:lang w:eastAsia="zh-CN"/>
        </w:rPr>
        <w:t>。</w:t>
      </w:r>
    </w:p>
    <w:p>
      <w:pPr>
        <w:jc w:val="center"/>
        <w:rPr>
          <w:b/>
          <w:bCs/>
        </w:rPr>
      </w:pPr>
      <w:r>
        <w:rPr>
          <w:rFonts w:hint="eastAsia"/>
          <w:b/>
          <w:bCs/>
        </w:rPr>
        <w:t>表1</w:t>
      </w:r>
      <w:r>
        <w:rPr>
          <w:b/>
          <w:bCs/>
        </w:rPr>
        <w:t xml:space="preserve"> </w:t>
      </w:r>
      <w:r>
        <w:rPr>
          <w:rFonts w:hint="eastAsia"/>
          <w:b/>
          <w:bCs/>
        </w:rPr>
        <w:t>线上成绩比较</w:t>
      </w:r>
    </w:p>
    <w:tbl>
      <w:tblPr>
        <w:tblStyle w:val="2"/>
        <w:tblW w:w="8642"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1"/>
        <w:gridCol w:w="1134"/>
        <w:gridCol w:w="1134"/>
        <w:gridCol w:w="851"/>
        <w:gridCol w:w="850"/>
        <w:gridCol w:w="833"/>
        <w:gridCol w:w="868"/>
        <w:gridCol w:w="833"/>
        <w:gridCol w:w="86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271"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bookmarkStart w:id="1" w:name="_Hlk107241184"/>
            <w:r>
              <w:rPr>
                <w:rFonts w:hint="default" w:ascii="Times New Roman" w:hAnsi="Times New Roman" w:eastAsia="宋体" w:cs="Times New Roman"/>
                <w:kern w:val="0"/>
                <w:sz w:val="20"/>
                <w:szCs w:val="20"/>
              </w:rPr>
              <w:t>学期</w:t>
            </w:r>
          </w:p>
        </w:tc>
        <w:tc>
          <w:tcPr>
            <w:tcW w:w="1134"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教学班级</w:t>
            </w:r>
          </w:p>
        </w:tc>
        <w:tc>
          <w:tcPr>
            <w:tcW w:w="1134"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模式</w:t>
            </w:r>
          </w:p>
        </w:tc>
        <w:tc>
          <w:tcPr>
            <w:tcW w:w="851"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均值</w:t>
            </w:r>
          </w:p>
        </w:tc>
        <w:tc>
          <w:tcPr>
            <w:tcW w:w="850"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优秀</w:t>
            </w:r>
          </w:p>
        </w:tc>
        <w:tc>
          <w:tcPr>
            <w:tcW w:w="833"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良好</w:t>
            </w:r>
          </w:p>
        </w:tc>
        <w:tc>
          <w:tcPr>
            <w:tcW w:w="868"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中等</w:t>
            </w:r>
          </w:p>
        </w:tc>
        <w:tc>
          <w:tcPr>
            <w:tcW w:w="833"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及格</w:t>
            </w:r>
          </w:p>
        </w:tc>
        <w:tc>
          <w:tcPr>
            <w:tcW w:w="868"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不及格</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1"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2021-2022第二学期</w:t>
            </w:r>
          </w:p>
        </w:tc>
        <w:tc>
          <w:tcPr>
            <w:tcW w:w="1134"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金融19-123</w:t>
            </w:r>
          </w:p>
        </w:tc>
        <w:tc>
          <w:tcPr>
            <w:tcW w:w="113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51"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84.5</w:t>
            </w:r>
          </w:p>
        </w:tc>
        <w:tc>
          <w:tcPr>
            <w:tcW w:w="85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46.7%</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26.3%</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16.5%</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7.7%</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1"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p>
        </w:tc>
        <w:tc>
          <w:tcPr>
            <w:tcW w:w="1134"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金融19-456</w:t>
            </w:r>
          </w:p>
        </w:tc>
        <w:tc>
          <w:tcPr>
            <w:tcW w:w="113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51"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86.5</w:t>
            </w:r>
          </w:p>
        </w:tc>
        <w:tc>
          <w:tcPr>
            <w:tcW w:w="85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55.4%</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27.1%</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12.0%</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3.2%</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1"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p>
        </w:tc>
        <w:tc>
          <w:tcPr>
            <w:tcW w:w="1134"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金融21级专升本</w:t>
            </w:r>
          </w:p>
        </w:tc>
        <w:tc>
          <w:tcPr>
            <w:tcW w:w="113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51"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83.7</w:t>
            </w:r>
          </w:p>
        </w:tc>
        <w:tc>
          <w:tcPr>
            <w:tcW w:w="85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25.7%</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34.8%</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34.8%</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71"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2020-2021第二学期（1-8周）</w:t>
            </w:r>
          </w:p>
        </w:tc>
        <w:tc>
          <w:tcPr>
            <w:tcW w:w="1134"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金融20级专升本</w:t>
            </w:r>
          </w:p>
        </w:tc>
        <w:tc>
          <w:tcPr>
            <w:tcW w:w="113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51"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81.2</w:t>
            </w:r>
          </w:p>
        </w:tc>
        <w:tc>
          <w:tcPr>
            <w:tcW w:w="85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12.35%</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56.79%</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17.28%</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8.64%</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4.94%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1" w:type="dxa"/>
            <w:tcBorders>
              <w:top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2019-2020第二学期</w:t>
            </w:r>
          </w:p>
        </w:tc>
        <w:tc>
          <w:tcPr>
            <w:tcW w:w="1134" w:type="dxa"/>
            <w:tcBorders>
              <w:top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金融18级</w:t>
            </w:r>
          </w:p>
        </w:tc>
        <w:tc>
          <w:tcPr>
            <w:tcW w:w="1134" w:type="dxa"/>
            <w:tcBorders>
              <w:top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51"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76.1</w:t>
            </w:r>
          </w:p>
        </w:tc>
        <w:tc>
          <w:tcPr>
            <w:tcW w:w="850"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10.60%</w:t>
            </w:r>
          </w:p>
        </w:tc>
        <w:tc>
          <w:tcPr>
            <w:tcW w:w="833"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37.88%</w:t>
            </w:r>
          </w:p>
        </w:tc>
        <w:tc>
          <w:tcPr>
            <w:tcW w:w="868"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w:t>
            </w:r>
          </w:p>
        </w:tc>
        <w:tc>
          <w:tcPr>
            <w:tcW w:w="833"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12.12%</w:t>
            </w:r>
          </w:p>
        </w:tc>
        <w:tc>
          <w:tcPr>
            <w:tcW w:w="868"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9.09%</w:t>
            </w:r>
          </w:p>
        </w:tc>
      </w:tr>
      <w:bookmarkEnd w:id="1"/>
    </w:tbl>
    <w:p>
      <w:pPr>
        <w:keepNext w:val="0"/>
        <w:keepLines w:val="0"/>
        <w:pageBreakBefore w:val="0"/>
        <w:widowControl w:val="0"/>
        <w:kinsoku/>
        <w:wordWrap/>
        <w:overflowPunct/>
        <w:topLinePunct w:val="0"/>
        <w:autoSpaceDE/>
        <w:autoSpaceDN/>
        <w:bidi w:val="0"/>
        <w:adjustRightInd/>
        <w:snapToGrid/>
        <w:spacing w:before="157" w:beforeLines="50" w:line="300" w:lineRule="auto"/>
        <w:ind w:firstLine="480" w:firstLineChars="200"/>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（2）从期末试卷成绩来看，如表2所示，近两学期均采取闭卷考试，2020-2021考核内容侧重于理论知识，2021-2022学年考核内容兼顾理论实务，在占比20分的票据实务考核上难度更大，总体看， 2021-2022学年比2020-2021学年的教学成效略好。</w:t>
      </w:r>
    </w:p>
    <w:p>
      <w:pPr>
        <w:jc w:val="center"/>
        <w:rPr>
          <w:b/>
          <w:bCs/>
        </w:rPr>
      </w:pPr>
      <w:r>
        <w:rPr>
          <w:rFonts w:hint="eastAsia"/>
          <w:b/>
          <w:bCs/>
        </w:rPr>
        <w:t xml:space="preserve">表2 </w:t>
      </w:r>
      <w:r>
        <w:rPr>
          <w:b/>
          <w:bCs/>
        </w:rPr>
        <w:t xml:space="preserve"> </w:t>
      </w:r>
      <w:r>
        <w:rPr>
          <w:rFonts w:hint="eastAsia"/>
          <w:b/>
          <w:bCs/>
        </w:rPr>
        <w:t>卷面成绩比较</w:t>
      </w:r>
    </w:p>
    <w:tbl>
      <w:tblPr>
        <w:tblStyle w:val="2"/>
        <w:tblW w:w="8642"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1"/>
        <w:gridCol w:w="1134"/>
        <w:gridCol w:w="1134"/>
        <w:gridCol w:w="851"/>
        <w:gridCol w:w="850"/>
        <w:gridCol w:w="833"/>
        <w:gridCol w:w="868"/>
        <w:gridCol w:w="833"/>
        <w:gridCol w:w="86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71"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bookmarkStart w:id="2" w:name="_Hlk107241900"/>
            <w:r>
              <w:rPr>
                <w:rFonts w:hint="default" w:ascii="Times New Roman" w:hAnsi="Times New Roman" w:eastAsia="宋体" w:cs="Times New Roman"/>
                <w:kern w:val="0"/>
                <w:sz w:val="20"/>
                <w:szCs w:val="20"/>
              </w:rPr>
              <w:t>学期</w:t>
            </w:r>
          </w:p>
        </w:tc>
        <w:tc>
          <w:tcPr>
            <w:tcW w:w="1134"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教学班级</w:t>
            </w:r>
          </w:p>
        </w:tc>
        <w:tc>
          <w:tcPr>
            <w:tcW w:w="1134"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模式</w:t>
            </w:r>
          </w:p>
        </w:tc>
        <w:tc>
          <w:tcPr>
            <w:tcW w:w="851"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均值</w:t>
            </w:r>
          </w:p>
        </w:tc>
        <w:tc>
          <w:tcPr>
            <w:tcW w:w="850"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优秀</w:t>
            </w:r>
          </w:p>
        </w:tc>
        <w:tc>
          <w:tcPr>
            <w:tcW w:w="833"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良好</w:t>
            </w:r>
          </w:p>
        </w:tc>
        <w:tc>
          <w:tcPr>
            <w:tcW w:w="868"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中等</w:t>
            </w:r>
          </w:p>
        </w:tc>
        <w:tc>
          <w:tcPr>
            <w:tcW w:w="833"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及格</w:t>
            </w:r>
          </w:p>
        </w:tc>
        <w:tc>
          <w:tcPr>
            <w:tcW w:w="868"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不及格</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1"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2021-2022第二学期</w:t>
            </w:r>
          </w:p>
        </w:tc>
        <w:tc>
          <w:tcPr>
            <w:tcW w:w="1134"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金融19-123</w:t>
            </w:r>
          </w:p>
        </w:tc>
        <w:tc>
          <w:tcPr>
            <w:tcW w:w="113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51"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72.5</w:t>
            </w:r>
          </w:p>
        </w:tc>
        <w:tc>
          <w:tcPr>
            <w:tcW w:w="85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26.3%</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27.3%</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22.0%</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1"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p>
        </w:tc>
        <w:tc>
          <w:tcPr>
            <w:tcW w:w="1134"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金融19-456</w:t>
            </w:r>
          </w:p>
        </w:tc>
        <w:tc>
          <w:tcPr>
            <w:tcW w:w="113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51"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72.4</w:t>
            </w:r>
          </w:p>
        </w:tc>
        <w:tc>
          <w:tcPr>
            <w:tcW w:w="85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16.6%</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60.0%</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14.3%</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6.6%</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1"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p>
        </w:tc>
        <w:tc>
          <w:tcPr>
            <w:tcW w:w="1134"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金融21级专升本</w:t>
            </w:r>
          </w:p>
        </w:tc>
        <w:tc>
          <w:tcPr>
            <w:tcW w:w="113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51"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74.8</w:t>
            </w:r>
          </w:p>
        </w:tc>
        <w:tc>
          <w:tcPr>
            <w:tcW w:w="85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34.8%</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37.8%</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15.0%</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71"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2020-2021第二学期（1-8周）</w:t>
            </w:r>
          </w:p>
        </w:tc>
        <w:tc>
          <w:tcPr>
            <w:tcW w:w="1134"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金融20级专升本</w:t>
            </w:r>
          </w:p>
        </w:tc>
        <w:tc>
          <w:tcPr>
            <w:tcW w:w="113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51"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w:t>
            </w:r>
          </w:p>
        </w:tc>
        <w:tc>
          <w:tcPr>
            <w:tcW w:w="85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23.0%</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21.3%</w:t>
            </w:r>
          </w:p>
        </w:tc>
        <w:tc>
          <w:tcPr>
            <w:tcW w:w="833"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41.0%</w:t>
            </w:r>
          </w:p>
        </w:tc>
        <w:tc>
          <w:tcPr>
            <w:tcW w:w="868"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1" w:type="dxa"/>
            <w:tcBorders>
              <w:top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2019-2020第二学期</w:t>
            </w:r>
          </w:p>
        </w:tc>
        <w:tc>
          <w:tcPr>
            <w:tcW w:w="1134" w:type="dxa"/>
            <w:tcBorders>
              <w:top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金融18级</w:t>
            </w:r>
          </w:p>
        </w:tc>
        <w:tc>
          <w:tcPr>
            <w:tcW w:w="1134" w:type="dxa"/>
            <w:tcBorders>
              <w:top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51"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76.1</w:t>
            </w:r>
          </w:p>
        </w:tc>
        <w:tc>
          <w:tcPr>
            <w:tcW w:w="850"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10.60%</w:t>
            </w:r>
          </w:p>
        </w:tc>
        <w:tc>
          <w:tcPr>
            <w:tcW w:w="833"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37.88%</w:t>
            </w:r>
          </w:p>
        </w:tc>
        <w:tc>
          <w:tcPr>
            <w:tcW w:w="868"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w:t>
            </w:r>
          </w:p>
        </w:tc>
        <w:tc>
          <w:tcPr>
            <w:tcW w:w="833"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12.12%</w:t>
            </w:r>
          </w:p>
        </w:tc>
        <w:tc>
          <w:tcPr>
            <w:tcW w:w="868"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9.09%</w:t>
            </w:r>
          </w:p>
        </w:tc>
      </w:tr>
      <w:bookmarkEnd w:id="2"/>
    </w:tbl>
    <w:p>
      <w:pPr>
        <w:keepNext w:val="0"/>
        <w:keepLines w:val="0"/>
        <w:pageBreakBefore w:val="0"/>
        <w:widowControl w:val="0"/>
        <w:kinsoku/>
        <w:wordWrap/>
        <w:overflowPunct/>
        <w:topLinePunct w:val="0"/>
        <w:autoSpaceDE/>
        <w:autoSpaceDN/>
        <w:bidi w:val="0"/>
        <w:adjustRightInd/>
        <w:snapToGrid/>
        <w:spacing w:before="157" w:beforeLines="50" w:line="300" w:lineRule="auto"/>
        <w:ind w:firstLine="480" w:firstLineChars="200"/>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（3）从期末总评成绩来看，如表3所示，</w:t>
      </w:r>
      <w:r>
        <w:rPr>
          <w:rFonts w:hint="default" w:ascii="Times New Roman" w:hAnsi="Times New Roman" w:eastAsia="仿宋_GB2312" w:cs="Times New Roman"/>
          <w:sz w:val="24"/>
          <w:lang w:eastAsia="zh-CN"/>
        </w:rPr>
        <w:t>2021</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lang w:eastAsia="zh-CN"/>
        </w:rPr>
        <w:t>2022</w:t>
      </w:r>
      <w:r>
        <w:rPr>
          <w:rFonts w:hint="eastAsia" w:ascii="Times New Roman" w:hAnsi="Times New Roman" w:eastAsia="仿宋_GB2312" w:cs="Times New Roman"/>
          <w:sz w:val="24"/>
          <w:lang w:eastAsia="zh-CN"/>
        </w:rPr>
        <w:t>学年比2</w:t>
      </w:r>
      <w:r>
        <w:rPr>
          <w:rFonts w:hint="default" w:ascii="Times New Roman" w:hAnsi="Times New Roman" w:eastAsia="仿宋_GB2312" w:cs="Times New Roman"/>
          <w:sz w:val="24"/>
          <w:lang w:eastAsia="zh-CN"/>
        </w:rPr>
        <w:t>020</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lang w:eastAsia="zh-CN"/>
        </w:rPr>
        <w:t>2021</w:t>
      </w:r>
      <w:r>
        <w:rPr>
          <w:rFonts w:hint="eastAsia" w:ascii="Times New Roman" w:hAnsi="Times New Roman" w:eastAsia="仿宋_GB2312" w:cs="Times New Roman"/>
          <w:sz w:val="24"/>
          <w:lang w:eastAsia="zh-CN"/>
        </w:rPr>
        <w:t>学年优秀率都有明显优势，2</w:t>
      </w:r>
      <w:r>
        <w:rPr>
          <w:rFonts w:hint="default" w:ascii="Times New Roman" w:hAnsi="Times New Roman" w:eastAsia="仿宋_GB2312" w:cs="Times New Roman"/>
          <w:sz w:val="24"/>
          <w:lang w:eastAsia="zh-CN"/>
        </w:rPr>
        <w:t>021</w:t>
      </w:r>
      <w:r>
        <w:rPr>
          <w:rFonts w:hint="eastAsia" w:ascii="Times New Roman" w:hAnsi="Times New Roman" w:eastAsia="仿宋_GB2312" w:cs="Times New Roman"/>
          <w:sz w:val="24"/>
          <w:lang w:eastAsia="zh-CN"/>
        </w:rPr>
        <w:t>级专升本与2</w:t>
      </w:r>
      <w:r>
        <w:rPr>
          <w:rFonts w:hint="default" w:ascii="Times New Roman" w:hAnsi="Times New Roman" w:eastAsia="仿宋_GB2312" w:cs="Times New Roman"/>
          <w:sz w:val="24"/>
          <w:lang w:eastAsia="zh-CN"/>
        </w:rPr>
        <w:t>020</w:t>
      </w:r>
      <w:r>
        <w:rPr>
          <w:rFonts w:hint="eastAsia" w:ascii="Times New Roman" w:hAnsi="Times New Roman" w:eastAsia="仿宋_GB2312" w:cs="Times New Roman"/>
          <w:sz w:val="24"/>
          <w:lang w:eastAsia="zh-CN"/>
        </w:rPr>
        <w:t>级专升本在良好率上有显著优势。</w:t>
      </w:r>
    </w:p>
    <w:p>
      <w:pPr>
        <w:jc w:val="center"/>
        <w:rPr>
          <w:b/>
          <w:bCs/>
        </w:rPr>
      </w:pPr>
      <w:r>
        <w:rPr>
          <w:rFonts w:hint="eastAsia"/>
          <w:b/>
          <w:bCs/>
        </w:rPr>
        <w:t xml:space="preserve">表3 </w:t>
      </w:r>
      <w:r>
        <w:rPr>
          <w:b/>
          <w:bCs/>
        </w:rPr>
        <w:t xml:space="preserve"> </w:t>
      </w:r>
      <w:r>
        <w:rPr>
          <w:rFonts w:hint="eastAsia"/>
          <w:b/>
          <w:bCs/>
        </w:rPr>
        <w:t>总评成绩比较</w:t>
      </w:r>
    </w:p>
    <w:tbl>
      <w:tblPr>
        <w:tblStyle w:val="2"/>
        <w:tblW w:w="8655"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3"/>
        <w:gridCol w:w="1072"/>
        <w:gridCol w:w="1072"/>
        <w:gridCol w:w="804"/>
        <w:gridCol w:w="894"/>
        <w:gridCol w:w="894"/>
        <w:gridCol w:w="1002"/>
        <w:gridCol w:w="894"/>
        <w:gridCol w:w="82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203"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学期</w:t>
            </w:r>
          </w:p>
        </w:tc>
        <w:tc>
          <w:tcPr>
            <w:tcW w:w="1072"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教学班级</w:t>
            </w:r>
          </w:p>
        </w:tc>
        <w:tc>
          <w:tcPr>
            <w:tcW w:w="1072"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模式</w:t>
            </w:r>
          </w:p>
        </w:tc>
        <w:tc>
          <w:tcPr>
            <w:tcW w:w="804"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均值</w:t>
            </w:r>
          </w:p>
        </w:tc>
        <w:tc>
          <w:tcPr>
            <w:tcW w:w="894"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优秀</w:t>
            </w:r>
          </w:p>
        </w:tc>
        <w:tc>
          <w:tcPr>
            <w:tcW w:w="894"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良好</w:t>
            </w:r>
          </w:p>
        </w:tc>
        <w:tc>
          <w:tcPr>
            <w:tcW w:w="1002"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中等</w:t>
            </w:r>
          </w:p>
        </w:tc>
        <w:tc>
          <w:tcPr>
            <w:tcW w:w="894"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及格</w:t>
            </w:r>
          </w:p>
        </w:tc>
        <w:tc>
          <w:tcPr>
            <w:tcW w:w="820" w:type="dxa"/>
            <w:tcBorders>
              <w:top w:val="single" w:color="auto" w:sz="8" w:space="0"/>
              <w:bottom w:val="nil"/>
            </w:tcBorders>
            <w:shd w:val="clear" w:color="auto" w:fill="FEF2CC" w:themeFill="accent4"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不及格</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203"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2021-2022第二学期</w:t>
            </w:r>
          </w:p>
        </w:tc>
        <w:tc>
          <w:tcPr>
            <w:tcW w:w="1072"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金融19-123</w:t>
            </w:r>
          </w:p>
        </w:tc>
        <w:tc>
          <w:tcPr>
            <w:tcW w:w="1072"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0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84.5</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19.8%</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46.0%</w:t>
            </w:r>
          </w:p>
        </w:tc>
        <w:tc>
          <w:tcPr>
            <w:tcW w:w="1002"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27.3%</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6.6%</w:t>
            </w:r>
          </w:p>
        </w:tc>
        <w:tc>
          <w:tcPr>
            <w:tcW w:w="82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203"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p>
        </w:tc>
        <w:tc>
          <w:tcPr>
            <w:tcW w:w="1072"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金融19-456</w:t>
            </w:r>
          </w:p>
        </w:tc>
        <w:tc>
          <w:tcPr>
            <w:tcW w:w="1072"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0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86.5</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16.6%</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61.1%</w:t>
            </w:r>
          </w:p>
        </w:tc>
        <w:tc>
          <w:tcPr>
            <w:tcW w:w="1002"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13.4%</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6.6%</w:t>
            </w:r>
          </w:p>
        </w:tc>
        <w:tc>
          <w:tcPr>
            <w:tcW w:w="82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203"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p>
        </w:tc>
        <w:tc>
          <w:tcPr>
            <w:tcW w:w="1072"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金融21级专升本</w:t>
            </w:r>
          </w:p>
        </w:tc>
        <w:tc>
          <w:tcPr>
            <w:tcW w:w="1072"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0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83.7</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75.6%</w:t>
            </w:r>
          </w:p>
        </w:tc>
        <w:tc>
          <w:tcPr>
            <w:tcW w:w="1002"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13.6%</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w:t>
            </w:r>
          </w:p>
        </w:tc>
        <w:tc>
          <w:tcPr>
            <w:tcW w:w="82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203" w:type="dxa"/>
            <w:tcBorders>
              <w:top w:val="nil"/>
              <w:bottom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2020-2021第二学期（1-8周）</w:t>
            </w:r>
          </w:p>
        </w:tc>
        <w:tc>
          <w:tcPr>
            <w:tcW w:w="1072" w:type="dxa"/>
            <w:tcBorders>
              <w:top w:val="nil"/>
              <w:bottom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金融20级专升本</w:t>
            </w:r>
          </w:p>
        </w:tc>
        <w:tc>
          <w:tcPr>
            <w:tcW w:w="1072"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0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6.6%</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50.8%</w:t>
            </w:r>
          </w:p>
        </w:tc>
        <w:tc>
          <w:tcPr>
            <w:tcW w:w="1002"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37.7%</w:t>
            </w:r>
          </w:p>
        </w:tc>
        <w:tc>
          <w:tcPr>
            <w:tcW w:w="894"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5.0%</w:t>
            </w:r>
          </w:p>
        </w:tc>
        <w:tc>
          <w:tcPr>
            <w:tcW w:w="820" w:type="dxa"/>
            <w:tcBorders>
              <w:top w:val="nil"/>
              <w:bottom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03" w:type="dxa"/>
            <w:tcBorders>
              <w:top w:val="nil"/>
            </w:tcBorders>
            <w:shd w:val="clear" w:color="auto" w:fill="FEF2CC" w:themeFill="accent4"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2019-2020第二学期</w:t>
            </w:r>
          </w:p>
        </w:tc>
        <w:tc>
          <w:tcPr>
            <w:tcW w:w="1072" w:type="dxa"/>
            <w:tcBorders>
              <w:top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金融18级</w:t>
            </w:r>
          </w:p>
        </w:tc>
        <w:tc>
          <w:tcPr>
            <w:tcW w:w="1072" w:type="dxa"/>
            <w:tcBorders>
              <w:top w:val="nil"/>
            </w:tcBorders>
            <w:shd w:val="clear" w:color="auto" w:fill="E2EFD9" w:themeFill="accent6" w:themeFillTint="3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混合式</w:t>
            </w:r>
          </w:p>
        </w:tc>
        <w:tc>
          <w:tcPr>
            <w:tcW w:w="804"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76.1</w:t>
            </w:r>
          </w:p>
        </w:tc>
        <w:tc>
          <w:tcPr>
            <w:tcW w:w="894"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10.60%</w:t>
            </w:r>
          </w:p>
        </w:tc>
        <w:tc>
          <w:tcPr>
            <w:tcW w:w="894"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37.88%</w:t>
            </w:r>
          </w:p>
        </w:tc>
        <w:tc>
          <w:tcPr>
            <w:tcW w:w="1002"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30.30%</w:t>
            </w:r>
          </w:p>
        </w:tc>
        <w:tc>
          <w:tcPr>
            <w:tcW w:w="894"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12.12%</w:t>
            </w:r>
          </w:p>
        </w:tc>
        <w:tc>
          <w:tcPr>
            <w:tcW w:w="820" w:type="dxa"/>
            <w:tcBorders>
              <w:top w:val="nil"/>
            </w:tcBorders>
            <w:shd w:val="clear" w:color="auto" w:fill="E2EFD9" w:themeFill="accent6" w:themeFillTint="33"/>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9.09%</w:t>
            </w:r>
          </w:p>
        </w:tc>
      </w:tr>
    </w:tbl>
    <w:p>
      <w:pPr>
        <w:keepNext w:val="0"/>
        <w:keepLines w:val="0"/>
        <w:pageBreakBefore w:val="0"/>
        <w:widowControl w:val="0"/>
        <w:kinsoku/>
        <w:wordWrap/>
        <w:overflowPunct/>
        <w:topLinePunct w:val="0"/>
        <w:autoSpaceDE/>
        <w:autoSpaceDN/>
        <w:bidi w:val="0"/>
        <w:adjustRightInd/>
        <w:snapToGrid/>
        <w:spacing w:before="157" w:beforeLines="50" w:line="300" w:lineRule="auto"/>
        <w:ind w:firstLine="480" w:firstLineChars="200"/>
        <w:textAlignment w:val="auto"/>
        <w:rPr>
          <w:rFonts w:ascii="Times New Roman" w:hAnsi="Times New Roman" w:eastAsia="仿宋_GB2312"/>
          <w:sz w:val="24"/>
        </w:rPr>
      </w:pPr>
      <w:r>
        <w:rPr>
          <w:rFonts w:hint="eastAsia" w:ascii="Times New Roman" w:hAnsi="Times New Roman" w:eastAsia="仿宋_GB2312" w:cs="Times New Roman"/>
          <w:sz w:val="24"/>
          <w:lang w:eastAsia="zh-CN"/>
        </w:rPr>
        <w:t>归纳来看，线上/线下混合式教学模式，有助于学生巩固理解课程内容，MOOC的情景教学、案例讨论与课堂教学、实验教学的综合运用，有助于加强学生对实务操作流程的感性认识，可以发挥体验式教学效果，从而提升教学效果。不过在线上与线下学时分配、学习内容整合、教学协调方式上的不同，也会影响混合式教学的具体效果。</w:t>
      </w:r>
      <w:r>
        <w:rPr>
          <w:rFonts w:hint="eastAsia" w:ascii="仿宋_GB2312" w:hAnsi="仿宋_GB2312" w:eastAsia="仿宋_GB2312" w:cs="仿宋_GB2312"/>
          <w:sz w:val="24"/>
        </w:rPr>
        <w:t>与单纯线下授课相比，混合式教学方式显著拓展了学习边界，克服了疫情线下教学受阻的困境，与线下教学构成良性协同。但是实验教学效果及学生教学互动性方面存在不足，在未来教学中通过线下</w:t>
      </w:r>
      <w:bookmarkStart w:id="3" w:name="_GoBack"/>
      <w:bookmarkEnd w:id="3"/>
      <w:r>
        <w:rPr>
          <w:rFonts w:hint="eastAsia" w:ascii="仿宋_GB2312" w:hAnsi="仿宋_GB2312" w:eastAsia="仿宋_GB2312" w:cs="仿宋_GB2312"/>
          <w:sz w:val="24"/>
        </w:rPr>
        <w:t>教学，特别是实验课可以得以完善。</w:t>
      </w:r>
    </w:p>
    <w:p>
      <w:pPr>
        <w:keepNext w:val="0"/>
        <w:keepLines w:val="0"/>
        <w:pageBreakBefore w:val="0"/>
        <w:widowControl w:val="0"/>
        <w:kinsoku/>
        <w:wordWrap/>
        <w:overflowPunct/>
        <w:topLinePunct w:val="0"/>
        <w:autoSpaceDE/>
        <w:autoSpaceDN/>
        <w:bidi w:val="0"/>
        <w:adjustRightInd/>
        <w:snapToGrid/>
        <w:spacing w:before="157" w:beforeLines="50" w:line="300" w:lineRule="auto"/>
        <w:ind w:firstLine="480" w:firstLineChars="200"/>
        <w:textAlignment w:val="auto"/>
        <w:rPr>
          <w:rFonts w:hint="eastAsia" w:ascii="Times New Roman" w:hAnsi="Times New Roman" w:eastAsia="仿宋_GB2312" w:cs="Times New Roman"/>
          <w:sz w:val="24"/>
          <w:lang w:eastAsia="zh-CN"/>
        </w:rPr>
      </w:pPr>
    </w:p>
    <w:p>
      <w:pPr>
        <w:spacing w:line="300" w:lineRule="auto"/>
        <w:ind w:firstLine="480" w:firstLineChars="200"/>
        <w:rPr>
          <w:rFonts w:ascii="Times New Roman" w:hAnsi="Times New Roman" w:eastAsia="仿宋_GB2312"/>
          <w:sz w:val="24"/>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78043"/>
    <w:multiLevelType w:val="singleLevel"/>
    <w:tmpl w:val="2607804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GUxZTgwY2MzMjZjZTM0ZWQ3NzZiOWQxMGM3OGMifQ=="/>
  </w:docVars>
  <w:rsids>
    <w:rsidRoot w:val="265B46B9"/>
    <w:rsid w:val="00050DC9"/>
    <w:rsid w:val="06770266"/>
    <w:rsid w:val="12A22198"/>
    <w:rsid w:val="1A936C65"/>
    <w:rsid w:val="20700371"/>
    <w:rsid w:val="265B46B9"/>
    <w:rsid w:val="2BC7343E"/>
    <w:rsid w:val="3B3D607E"/>
    <w:rsid w:val="3E3C34CE"/>
    <w:rsid w:val="3F751CD1"/>
    <w:rsid w:val="4805399C"/>
    <w:rsid w:val="4CEC3810"/>
    <w:rsid w:val="59F5698E"/>
    <w:rsid w:val="5B3951AC"/>
    <w:rsid w:val="6B2F38EF"/>
    <w:rsid w:val="6BC404DB"/>
    <w:rsid w:val="6F156D3B"/>
    <w:rsid w:val="7C482A62"/>
    <w:rsid w:val="7C49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2022-10-16T10:42:00Z</dcterms:created>
  <dc:creator>雨滴</dc:creator>
  <cp:lastModifiedBy>雨滴</cp:lastModifiedBy>
  <dcterms:modified xsi:type="dcterms:W3CDTF">2022-10-16T11:44:58Z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D39F6AD7D2FF41DFB07DB545A5FBF699</vt:lpwstr>
  </property>
</Properties>
</file>